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BCC" w:rsidRDefault="00751C31">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96BCC" w:rsidRDefault="00751C31">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2.001116</w:t>
      </w:r>
    </w:p>
    <w:p w:rsidR="00D96BCC" w:rsidRDefault="00751C31">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694/QĐ-BXD</w:t>
      </w:r>
    </w:p>
    <w:p w:rsidR="00D96BCC" w:rsidRDefault="00751C31">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Bổ nhiệm và cấp thẻ giám định viên tư pháp xây dựng ở địa phương</w:t>
      </w:r>
    </w:p>
    <w:p w:rsidR="00D96BCC" w:rsidRDefault="00751C31">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D96BCC" w:rsidRDefault="00751C31">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không được luật giao cho địa phương quy định hoặc quy định </w:t>
      </w:r>
      <w:r>
        <w:rPr>
          <w:rFonts w:ascii="Times New Roman" w:eastAsia="Times New Roman" w:hAnsi="Times New Roman" w:cs="Times New Roman"/>
          <w:sz w:val="26"/>
        </w:rPr>
        <w:t>chi tiết</w:t>
      </w:r>
    </w:p>
    <w:p w:rsidR="00D96BCC" w:rsidRDefault="00751C31">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Giám định tư pháp</w:t>
      </w:r>
    </w:p>
    <w:p w:rsidR="00D96BCC" w:rsidRDefault="00751C31">
      <w:pPr>
        <w:spacing w:after="0" w:line="276" w:lineRule="auto"/>
        <w:jc w:val="both"/>
      </w:pPr>
      <w:r>
        <w:rPr>
          <w:rFonts w:ascii="Times New Roman" w:eastAsia="Times New Roman" w:hAnsi="Times New Roman" w:cs="Times New Roman"/>
          <w:b/>
          <w:sz w:val="26"/>
        </w:rPr>
        <w:t xml:space="preserve">Trình tự thực hiện: </w:t>
      </w:r>
    </w:p>
    <w:p w:rsidR="00D96BCC" w:rsidRDefault="00D96BCC">
      <w:pPr>
        <w:shd w:val="clear" w:color="auto" w:fill="F2F6F9"/>
        <w:spacing w:before="120" w:after="0" w:line="276" w:lineRule="auto"/>
        <w:jc w:val="both"/>
      </w:pPr>
    </w:p>
    <w:p w:rsidR="00D96BCC" w:rsidRDefault="00751C31">
      <w:pPr>
        <w:spacing w:after="0" w:line="276" w:lineRule="auto"/>
        <w:jc w:val="both"/>
      </w:pPr>
      <w:r>
        <w:rPr>
          <w:rFonts w:ascii="Times New Roman" w:eastAsia="Times New Roman" w:hAnsi="Times New Roman" w:cs="Times New Roman"/>
          <w:sz w:val="26"/>
        </w:rPr>
        <w:t>- Cơ quan, tổ chức quản lý giám định viên tư pháp gửi hồ sơ đề nghị bổ nhiệm, cấp thẻ giám định viên tư pháp xây dựng về Bộ phận tiếp nhận và trả kết quả giải quyết thủ tục hành chính của Ủy ban nh</w:t>
      </w:r>
      <w:r>
        <w:rPr>
          <w:rFonts w:ascii="Times New Roman" w:eastAsia="Times New Roman" w:hAnsi="Times New Roman" w:cs="Times New Roman"/>
          <w:sz w:val="26"/>
        </w:rPr>
        <w:t>ân dân cấp tỉnh;</w:t>
      </w:r>
    </w:p>
    <w:p w:rsidR="00D96BCC" w:rsidRDefault="00751C31">
      <w:pPr>
        <w:spacing w:after="0" w:line="276" w:lineRule="auto"/>
        <w:jc w:val="both"/>
      </w:pPr>
      <w:r>
        <w:rPr>
          <w:rFonts w:ascii="Times New Roman" w:eastAsia="Times New Roman" w:hAnsi="Times New Roman" w:cs="Times New Roman"/>
          <w:sz w:val="26"/>
        </w:rPr>
        <w:t>- Sở Xây dựng chủ trì, phối hợp với Sở Tư pháp lựa chọn người có đủ tiêu chuẩn, đề nghị Chủ tịch Ủy ban nhân dân cấp tỉnh bổ nhiệm, cấp thẻ giám định viên tư pháp theo quy định;</w:t>
      </w:r>
    </w:p>
    <w:p w:rsidR="00D96BCC" w:rsidRDefault="00751C31">
      <w:pPr>
        <w:spacing w:after="0" w:line="276" w:lineRule="auto"/>
        <w:jc w:val="both"/>
      </w:pPr>
      <w:r>
        <w:rPr>
          <w:rFonts w:ascii="Times New Roman" w:eastAsia="Times New Roman" w:hAnsi="Times New Roman" w:cs="Times New Roman"/>
          <w:sz w:val="26"/>
        </w:rPr>
        <w:t>- Trong vòng 20 ngày kể từ khi nhận được hồ sơ hợp lệ theo qu</w:t>
      </w:r>
      <w:r>
        <w:rPr>
          <w:rFonts w:ascii="Times New Roman" w:eastAsia="Times New Roman" w:hAnsi="Times New Roman" w:cs="Times New Roman"/>
          <w:sz w:val="26"/>
        </w:rPr>
        <w:t>y định, Chủ tịch Ủy ban nhân dân cấp tỉnh ra quyết định bổ nhiệm giám định viên tư pháp xây dựng. Trường hợp từ chối phải thông báo cho người đề nghị bằng văn bản và nêu rõ lý do;</w:t>
      </w:r>
    </w:p>
    <w:p w:rsidR="00D96BCC" w:rsidRDefault="00751C31">
      <w:pPr>
        <w:spacing w:after="0" w:line="276" w:lineRule="auto"/>
        <w:jc w:val="both"/>
      </w:pPr>
      <w:r>
        <w:rPr>
          <w:rFonts w:ascii="Times New Roman" w:eastAsia="Times New Roman" w:hAnsi="Times New Roman" w:cs="Times New Roman"/>
          <w:sz w:val="26"/>
        </w:rPr>
        <w:t xml:space="preserve">Trong thời hạn 10 ngày  kể từ ngày nhận được quyết định bổ nhiệm và cấp thẻ </w:t>
      </w:r>
      <w:r>
        <w:rPr>
          <w:rFonts w:ascii="Times New Roman" w:eastAsia="Times New Roman" w:hAnsi="Times New Roman" w:cs="Times New Roman"/>
          <w:sz w:val="26"/>
        </w:rPr>
        <w:t>giám định viên tư pháp kèm theo hồ sơ, Chủ tịch Ủy ban nhân dân cấp tỉnh cấp thẻ giám định viên tư pháp.</w:t>
      </w:r>
    </w:p>
    <w:p w:rsidR="00D96BCC" w:rsidRDefault="00751C3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24"/>
        <w:gridCol w:w="1067"/>
        <w:gridCol w:w="1412"/>
        <w:gridCol w:w="5908"/>
      </w:tblGrid>
      <w:tr w:rsidR="00D96BCC">
        <w:tblPrEx>
          <w:tblCellMar>
            <w:top w:w="0" w:type="dxa"/>
            <w:bottom w:w="0" w:type="dxa"/>
          </w:tblCellMar>
        </w:tblPrEx>
        <w:tc>
          <w:tcPr>
            <w:tcW w:w="15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Hình thức nộp</w:t>
            </w:r>
          </w:p>
        </w:tc>
        <w:tc>
          <w:tcPr>
            <w:tcW w:w="20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Phí, lệ phí</w:t>
            </w:r>
          </w:p>
        </w:tc>
        <w:tc>
          <w:tcPr>
            <w:tcW w:w="30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Mô tả</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Trực tiếp</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30 Ngày</w:t>
            </w:r>
          </w:p>
        </w:tc>
        <w:tc>
          <w:tcPr>
            <w:tcW w:w="0" w:type="auto"/>
          </w:tcPr>
          <w:p w:rsidR="00D96BCC" w:rsidRDefault="00D96BCC"/>
          <w:p w:rsidR="00D96BCC" w:rsidRDefault="00D96BCC">
            <w:pPr>
              <w:spacing w:after="0" w:line="276" w:lineRule="auto"/>
            </w:pP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xml:space="preserve">Trong thời hạn 30 ngày, kể từ ngày nhận được hồ </w:t>
            </w:r>
            <w:r>
              <w:rPr>
                <w:rFonts w:ascii="Times New Roman" w:eastAsia="Times New Roman" w:hAnsi="Times New Roman" w:cs="Times New Roman"/>
                <w:sz w:val="26"/>
              </w:rPr>
              <w:t>sơ hợp lệ (bao gồm 20 ngày quyết định bổ nhiệm giám định viên tư pháp và 10 ngày cấp thẻ giám định viên tư pháp)</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Dịch vụ bưu chính</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30 Ngày</w:t>
            </w:r>
          </w:p>
        </w:tc>
        <w:tc>
          <w:tcPr>
            <w:tcW w:w="0" w:type="auto"/>
          </w:tcPr>
          <w:p w:rsidR="00D96BCC" w:rsidRDefault="00D96BCC"/>
          <w:p w:rsidR="00D96BCC" w:rsidRDefault="00D96BCC">
            <w:pPr>
              <w:spacing w:after="0" w:line="276" w:lineRule="auto"/>
            </w:pP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xml:space="preserve">Trong thời hạn 30 ngày, kể từ ngày nhận được hồ sơ hợp lệ (bao gồm 20 ngày quyết định bổ nhiệm giám định viên </w:t>
            </w:r>
            <w:r>
              <w:rPr>
                <w:rFonts w:ascii="Times New Roman" w:eastAsia="Times New Roman" w:hAnsi="Times New Roman" w:cs="Times New Roman"/>
                <w:sz w:val="26"/>
              </w:rPr>
              <w:t xml:space="preserve">tư pháp và 10 ngày cấp thẻ giám định viên tư </w:t>
            </w:r>
            <w:r>
              <w:rPr>
                <w:rFonts w:ascii="Times New Roman" w:eastAsia="Times New Roman" w:hAnsi="Times New Roman" w:cs="Times New Roman"/>
                <w:sz w:val="26"/>
              </w:rPr>
              <w:lastRenderedPageBreak/>
              <w:t>pháp)</w:t>
            </w:r>
          </w:p>
        </w:tc>
      </w:tr>
    </w:tbl>
    <w:p w:rsidR="00D96BCC" w:rsidRDefault="00751C31">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D96BCC" w:rsidRDefault="00751C3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297"/>
        <w:gridCol w:w="2227"/>
        <w:gridCol w:w="887"/>
      </w:tblGrid>
      <w:tr w:rsidR="00D96BCC">
        <w:tblPrEx>
          <w:tblCellMar>
            <w:top w:w="0" w:type="dxa"/>
            <w:bottom w:w="0" w:type="dxa"/>
          </w:tblCellMar>
        </w:tblPrEx>
        <w:tc>
          <w:tcPr>
            <w:tcW w:w="60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Tên giấy tờ</w:t>
            </w:r>
          </w:p>
        </w:tc>
        <w:tc>
          <w:tcPr>
            <w:tcW w:w="20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Mẫu đơn, tờ khai</w:t>
            </w:r>
          </w:p>
        </w:tc>
        <w:tc>
          <w:tcPr>
            <w:tcW w:w="20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Số lượng</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Văn bản đề nghị bổ nhiệm, cấp thẻ giám định viên tư pháp xây dựng hoặc đơn đề nghị bổ nhiệm giám định viên tư pháp của cá nhân đã là</w:t>
            </w:r>
            <w:r>
              <w:rPr>
                <w:rFonts w:ascii="Times New Roman" w:eastAsia="Times New Roman" w:hAnsi="Times New Roman" w:cs="Times New Roman"/>
                <w:sz w:val="26"/>
              </w:rPr>
              <w:t xml:space="preserve"> giám định viên tư pháp nhưng bị miễn nhiệm do nghỉ hưu hoặc thôi việc để thành lập Văn phòng giám định tư pháp (theo mẫu số 02 kèm theo  Thông tư số 17/2021/TT-BXD)</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Van ban de nghi bo nhiem và cap the giam dinh vien tu phap xay dung.docx</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w:t>
            </w:r>
            <w:r>
              <w:rPr>
                <w:rFonts w:ascii="Times New Roman" w:eastAsia="Times New Roman" w:hAnsi="Times New Roman" w:cs="Times New Roman"/>
                <w:sz w:val="26"/>
              </w:rPr>
              <w:t>n sao: 1</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Bản sao bằng tốt nghiệp đại học trở lên phù hợp với lĩnh vực chuyên môn được đề nghị bổ nhiệm;</w:t>
            </w:r>
          </w:p>
        </w:tc>
        <w:tc>
          <w:tcPr>
            <w:tcW w:w="0" w:type="auto"/>
          </w:tcPr>
          <w:p w:rsidR="00D96BCC" w:rsidRDefault="00D96BCC"/>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xml:space="preserve">- Sơ yếu lý lịch và Phiếu lý lịch tư pháp. Trường hợp người được đề nghị bổ nhiệm giám định viên tư pháp đang là công </w:t>
            </w:r>
            <w:r>
              <w:rPr>
                <w:rFonts w:ascii="Times New Roman" w:eastAsia="Times New Roman" w:hAnsi="Times New Roman" w:cs="Times New Roman"/>
                <w:sz w:val="26"/>
              </w:rPr>
              <w:t>chức, viên chức thì không cần có Phiếu lý lịch tư pháp;</w:t>
            </w:r>
          </w:p>
        </w:tc>
        <w:tc>
          <w:tcPr>
            <w:tcW w:w="0" w:type="auto"/>
          </w:tcPr>
          <w:p w:rsidR="00D96BCC" w:rsidRDefault="00D96BCC"/>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Giấy xác nhận về thời gian thực tế hoạt động chuyên môn của cơ quan, tổ chức nơi người được đề nghị bổ nhiệm làm việc;</w:t>
            </w:r>
          </w:p>
        </w:tc>
        <w:tc>
          <w:tcPr>
            <w:tcW w:w="0" w:type="auto"/>
          </w:tcPr>
          <w:p w:rsidR="00D96BCC" w:rsidRDefault="00D96BCC"/>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xml:space="preserve">- Bản sao Chứng chỉ </w:t>
            </w:r>
            <w:r>
              <w:rPr>
                <w:rFonts w:ascii="Times New Roman" w:eastAsia="Times New Roman" w:hAnsi="Times New Roman" w:cs="Times New Roman"/>
                <w:sz w:val="26"/>
              </w:rPr>
              <w:t>hành nghề hoạt động xây dựng hoặc bản kê khai điều kiện năng lực phù hợp với tiêu chuẩn giám định viên tư pháp xây dựng quy định (nếu có).</w:t>
            </w:r>
          </w:p>
        </w:tc>
        <w:tc>
          <w:tcPr>
            <w:tcW w:w="0" w:type="auto"/>
          </w:tcPr>
          <w:p w:rsidR="00D96BCC" w:rsidRDefault="00D96BCC"/>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- 02 ảnh màu chân dung cỡ 2cm x 3cm (chụp trong vòng 06 tháng gần nhất).</w:t>
            </w:r>
          </w:p>
        </w:tc>
        <w:tc>
          <w:tcPr>
            <w:tcW w:w="0" w:type="auto"/>
          </w:tcPr>
          <w:p w:rsidR="00D96BCC" w:rsidRDefault="00D96BCC"/>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w:t>
            </w:r>
            <w:r>
              <w:rPr>
                <w:rFonts w:ascii="Times New Roman" w:eastAsia="Times New Roman" w:hAnsi="Times New Roman" w:cs="Times New Roman"/>
                <w:sz w:val="26"/>
              </w:rPr>
              <w:t>ản sao: 1</w:t>
            </w:r>
          </w:p>
        </w:tc>
      </w:tr>
    </w:tbl>
    <w:p w:rsidR="00D96BCC" w:rsidRDefault="00751C31">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Cán bộ, công chức, viên chức</w:t>
      </w:r>
    </w:p>
    <w:p w:rsidR="00D96BCC" w:rsidRDefault="00751C3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D96BCC" w:rsidRDefault="00751C3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D96BCC" w:rsidRDefault="00751C3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Bộ phận tiếp nhận và trả kết quả giải quyết thủ tục hành chính của Ủy ban </w:t>
      </w:r>
      <w:r>
        <w:rPr>
          <w:rFonts w:ascii="Times New Roman" w:eastAsia="Times New Roman" w:hAnsi="Times New Roman" w:cs="Times New Roman"/>
          <w:sz w:val="26"/>
        </w:rPr>
        <w:t>nhân dân cấp tỉnh</w:t>
      </w:r>
    </w:p>
    <w:p w:rsidR="00D96BCC" w:rsidRDefault="00751C3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Sở Xây dựng, Sở Tư pháp - TP. Hải Phòng</w:t>
      </w:r>
    </w:p>
    <w:p w:rsidR="00D96BCC" w:rsidRDefault="00751C31">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96BCC" w:rsidRDefault="00751C3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bổ nhiệm giám định viên tư pháp xây dựng và thẻ giám định viên tư pháp xây dựng tại địa phương.</w:t>
      </w:r>
    </w:p>
    <w:p w:rsidR="00D96BCC" w:rsidRDefault="00751C31">
      <w:pPr>
        <w:spacing w:after="0" w:line="276" w:lineRule="auto"/>
        <w:jc w:val="both"/>
      </w:pPr>
      <w:r>
        <w:rPr>
          <w:rFonts w:ascii="Times New Roman" w:eastAsia="Times New Roman" w:hAnsi="Times New Roman" w:cs="Times New Roman"/>
          <w:b/>
          <w:sz w:val="26"/>
        </w:rPr>
        <w:t xml:space="preserve">Căn cứ pháp </w:t>
      </w:r>
      <w:r>
        <w:rPr>
          <w:rFonts w:ascii="Times New Roman" w:eastAsia="Times New Roman" w:hAnsi="Times New Roman" w:cs="Times New Roman"/>
          <w:b/>
          <w:sz w:val="26"/>
        </w:rPr>
        <w:t xml:space="preserve">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D96BCC">
        <w:tblPrEx>
          <w:tblCellMar>
            <w:top w:w="0" w:type="dxa"/>
            <w:bottom w:w="0" w:type="dxa"/>
          </w:tblCellMar>
        </w:tblPrEx>
        <w:tc>
          <w:tcPr>
            <w:tcW w:w="20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Số ký hiệu</w:t>
            </w:r>
          </w:p>
        </w:tc>
        <w:tc>
          <w:tcPr>
            <w:tcW w:w="35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Trích yếu</w:t>
            </w:r>
          </w:p>
        </w:tc>
        <w:tc>
          <w:tcPr>
            <w:tcW w:w="15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Ngày ban hành</w:t>
            </w:r>
          </w:p>
        </w:tc>
        <w:tc>
          <w:tcPr>
            <w:tcW w:w="3000" w:type="dxa"/>
          </w:tcPr>
          <w:p w:rsidR="00D96BCC" w:rsidRDefault="00D96BCC"/>
          <w:p w:rsidR="00D96BCC" w:rsidRDefault="00751C31">
            <w:pPr>
              <w:spacing w:after="0" w:line="276" w:lineRule="auto"/>
              <w:jc w:val="center"/>
            </w:pPr>
            <w:r>
              <w:rPr>
                <w:rFonts w:ascii="Times New Roman" w:eastAsia="Times New Roman" w:hAnsi="Times New Roman" w:cs="Times New Roman"/>
                <w:b/>
                <w:sz w:val="26"/>
              </w:rPr>
              <w:t>Cơ quan ban hành</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13/2012/QH13</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Luật 13/2012/QH13</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20-06-2012</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Quốc Hội</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11/2020/TT-BTP</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Thông tư 11/2020/TT-BTP</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31-12-2020</w:t>
            </w:r>
          </w:p>
        </w:tc>
        <w:tc>
          <w:tcPr>
            <w:tcW w:w="0" w:type="auto"/>
          </w:tcPr>
          <w:p w:rsidR="00D96BCC" w:rsidRDefault="00D96BCC"/>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35/2023/NĐ-CP</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 xml:space="preserve">Sửa đổi, bổ sung một số điều của các Nghị định thuộc lĩnh vực quản </w:t>
            </w:r>
            <w:r>
              <w:rPr>
                <w:rFonts w:ascii="Times New Roman" w:eastAsia="Times New Roman" w:hAnsi="Times New Roman" w:cs="Times New Roman"/>
                <w:sz w:val="26"/>
              </w:rPr>
              <w:t>lý nhà nước của Bộ Xây dựng</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20-06-2023</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Chính phủ</w:t>
            </w:r>
          </w:p>
        </w:tc>
      </w:tr>
      <w:tr w:rsidR="00D96BCC">
        <w:tblPrEx>
          <w:tblCellMar>
            <w:top w:w="0" w:type="dxa"/>
            <w:bottom w:w="0" w:type="dxa"/>
          </w:tblCellMar>
        </w:tblPrEx>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Thông tư số 17/2021/TT-BXD</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Thông tư số 17/2021/TT-BXD ngày 22/12/2021 của Bộ Xây dựng quy định một số nội dung về hoạt động giám định tư pháp trong lĩnh vực xây dựng</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22-11-2021</w:t>
            </w:r>
          </w:p>
        </w:tc>
        <w:tc>
          <w:tcPr>
            <w:tcW w:w="0" w:type="auto"/>
          </w:tcPr>
          <w:p w:rsidR="00D96BCC" w:rsidRDefault="00D96BCC"/>
          <w:p w:rsidR="00D96BCC" w:rsidRDefault="00751C31">
            <w:pPr>
              <w:spacing w:after="0" w:line="276" w:lineRule="auto"/>
            </w:pPr>
            <w:r>
              <w:rPr>
                <w:rFonts w:ascii="Times New Roman" w:eastAsia="Times New Roman" w:hAnsi="Times New Roman" w:cs="Times New Roman"/>
                <w:sz w:val="26"/>
              </w:rPr>
              <w:t>Bộ Xây dựng</w:t>
            </w:r>
          </w:p>
        </w:tc>
      </w:tr>
    </w:tbl>
    <w:p w:rsidR="00D96BCC" w:rsidRDefault="00751C31">
      <w:pPr>
        <w:spacing w:before="240" w:after="0" w:line="276" w:lineRule="auto"/>
        <w:jc w:val="both"/>
      </w:pPr>
      <w:r>
        <w:rPr>
          <w:rFonts w:ascii="Times New Roman" w:eastAsia="Times New Roman" w:hAnsi="Times New Roman" w:cs="Times New Roman"/>
          <w:b/>
          <w:sz w:val="26"/>
        </w:rPr>
        <w:t>Yêu cầu, đ</w:t>
      </w:r>
      <w:r>
        <w:rPr>
          <w:rFonts w:ascii="Times New Roman" w:eastAsia="Times New Roman" w:hAnsi="Times New Roman" w:cs="Times New Roman"/>
          <w:b/>
          <w:sz w:val="26"/>
        </w:rPr>
        <w:t xml:space="preserve">iều kiện thực hiện: </w:t>
      </w:r>
      <w:r>
        <w:rPr>
          <w:rFonts w:ascii="Times New Roman" w:eastAsia="Times New Roman" w:hAnsi="Times New Roman" w:cs="Times New Roman"/>
          <w:sz w:val="26"/>
        </w:rPr>
        <w:t>Giám định viên tư pháp xây dựng phải đáp ứng tiêu chuẩn quy định tại khoản 1 Điều 7 Luật Giám định tư pháp số 13/2012/QH13; trong đó, tiêu chuẩn hoạt động chuyên môn phù hợp được quy định như sau: 1. Trường hợp giám định tư pháp về sự t</w:t>
      </w:r>
      <w:r>
        <w:rPr>
          <w:rFonts w:ascii="Times New Roman" w:eastAsia="Times New Roman" w:hAnsi="Times New Roman" w:cs="Times New Roman"/>
          <w:sz w:val="26"/>
        </w:rPr>
        <w:t>uân thủ các quy định của pháp luật a) Đối với giám định sự tuân thủ các quy định của pháp luật về quy hoạch xây dựng: phải có chứng chỉ hành nghề thiết kế quy hoạch xây dựng theo quy định của pháp luật về xây dựng hoặc có kinh nghiệm quản lý nhà nước đủ 05</w:t>
      </w:r>
      <w:r>
        <w:rPr>
          <w:rFonts w:ascii="Times New Roman" w:eastAsia="Times New Roman" w:hAnsi="Times New Roman" w:cs="Times New Roman"/>
          <w:sz w:val="26"/>
        </w:rPr>
        <w:t xml:space="preserve"> năm trở lên về quy hoạch xây dựng, phù hợp với đối tượng và nội dung giám định; b) Đối với giám định sự tuân thủ các quy định của pháp luật về hoạt động đầu tư xây dựng: phải đáp ứng điều kiện năng lực hoạt động xây dựng theo quy định của pháp luật về xây</w:t>
      </w:r>
      <w:r>
        <w:rPr>
          <w:rFonts w:ascii="Times New Roman" w:eastAsia="Times New Roman" w:hAnsi="Times New Roman" w:cs="Times New Roman"/>
          <w:sz w:val="26"/>
        </w:rPr>
        <w:t xml:space="preserve"> dựng để thực hiện một trong các công việc khảo sát xây dựng, thiết kế xây dựng, giám sát thi công xây dựng, định giá xây dựng, quản lý dự án đầu tư xây dựng, kiểm định xây dựng hoặc có kinh nghiệm quản lý nhà nước đủ 05 năm trở lên về hoạt động xây dựng, </w:t>
      </w:r>
      <w:r>
        <w:rPr>
          <w:rFonts w:ascii="Times New Roman" w:eastAsia="Times New Roman" w:hAnsi="Times New Roman" w:cs="Times New Roman"/>
          <w:sz w:val="26"/>
        </w:rPr>
        <w:t xml:space="preserve">phù hợp với đối tượng và nội dung giám định; c) Đối với giám định sự tuân thủ các quy định của pháp luật về nhà ở và kinh doanh bất động sản: phải có kinh nghiệm quản lý nhà nước đủ 05 năm trở lên về nhà ở và thị trường bất động sản, phù hợp với đối tượng </w:t>
      </w:r>
      <w:r>
        <w:rPr>
          <w:rFonts w:ascii="Times New Roman" w:eastAsia="Times New Roman" w:hAnsi="Times New Roman" w:cs="Times New Roman"/>
          <w:sz w:val="26"/>
        </w:rPr>
        <w:t>và nội dung giám định. 2. Trường hợp giám định tư pháp về chất lượng xây dựng công trình a) Đối với giám định chất lượng khảo sát xây dựng hoặc thiết kế xây dựng: phải có chứng chỉ hành nghề khảo sát xây dựng hoặc thiết kế xây dựng theo quy định của pháp l</w:t>
      </w:r>
      <w:r>
        <w:rPr>
          <w:rFonts w:ascii="Times New Roman" w:eastAsia="Times New Roman" w:hAnsi="Times New Roman" w:cs="Times New Roman"/>
          <w:sz w:val="26"/>
        </w:rPr>
        <w:t>uật về xây dựng, phù hợp với đối tượng và nội dung giám định; b) Đối với giám định chất lượng công trình xây dựng, bộ phận công trình xây dựng; giám định nguyên nhân sự cố công trình xây dựng, nguyên nhân hư hỏng công trình xây dựng: phải đáp ứng điều kiện</w:t>
      </w:r>
      <w:r>
        <w:rPr>
          <w:rFonts w:ascii="Times New Roman" w:eastAsia="Times New Roman" w:hAnsi="Times New Roman" w:cs="Times New Roman"/>
          <w:sz w:val="26"/>
        </w:rPr>
        <w:t xml:space="preserve"> hành nghề kiểm định xây dựng theo quy định của pháp luật về xây dựng, phù hợp với đối tượng và nội dung giám định. 3. Trường hợp giám định chi phí xây dựng công trình, giá trị nhà ở và bất động sản: phải có chứng chỉ hành nghề định giá xây dựng theo quy đ</w:t>
      </w:r>
      <w:r>
        <w:rPr>
          <w:rFonts w:ascii="Times New Roman" w:eastAsia="Times New Roman" w:hAnsi="Times New Roman" w:cs="Times New Roman"/>
          <w:sz w:val="26"/>
        </w:rPr>
        <w:t>ịnh của pháp luật về xây dựng hoặc có kinh nghiệm quản lý nhà nước đủ 05 năm trở lên, phù hợp với đối tượng và nội dung giám định.</w:t>
      </w:r>
    </w:p>
    <w:p w:rsidR="00D96BCC" w:rsidRDefault="00751C3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96BCC" w:rsidRDefault="00751C31">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96BC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96BCC"/>
    <w:rsid w:val="00751C31"/>
    <w:rsid w:val="00D96B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EF86E8-28AF-4463-84FE-067FEECE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5159</Characters>
  <Application>Microsoft Office Word</Application>
  <DocSecurity>0</DocSecurity>
  <Lines>42</Lines>
  <Paragraphs>12</Paragraphs>
  <ScaleCrop>false</ScaleCrop>
  <Company>Microsoft</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